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F52" w:rsidRDefault="00651F52">
      <w:pPr>
        <w:pStyle w:val="BodyA"/>
        <w:spacing w:after="0"/>
        <w:rPr>
          <w:b/>
          <w:bCs/>
        </w:rPr>
      </w:pPr>
      <w:bookmarkStart w:id="0" w:name="_GoBack"/>
      <w:bookmarkEnd w:id="0"/>
    </w:p>
    <w:p w:rsidR="00651F52" w:rsidRDefault="006375F7">
      <w:pPr>
        <w:pStyle w:val="ListParagraph"/>
        <w:numPr>
          <w:ilvl w:val="0"/>
          <w:numId w:val="2"/>
        </w:numPr>
        <w:spacing w:after="0"/>
      </w:pPr>
      <w:r>
        <w:t>Working group name:</w:t>
      </w:r>
    </w:p>
    <w:p w:rsidR="00651F52" w:rsidRDefault="00651F52">
      <w:pPr>
        <w:pStyle w:val="ListParagraph"/>
        <w:spacing w:after="0"/>
        <w:ind w:left="0"/>
      </w:pPr>
    </w:p>
    <w:p w:rsidR="00651F52" w:rsidRDefault="006375F7">
      <w:pPr>
        <w:pStyle w:val="BodyA"/>
        <w:spacing w:after="0"/>
        <w:ind w:left="720"/>
        <w:rPr>
          <w:i/>
          <w:iCs/>
          <w:color w:val="0070C0"/>
          <w:u w:color="0070C0"/>
        </w:rPr>
      </w:pPr>
      <w:r>
        <w:rPr>
          <w:i/>
          <w:iCs/>
          <w:color w:val="0070C0"/>
          <w:u w:color="0070C0"/>
        </w:rPr>
        <w:t>Law Enforcement Working Group</w:t>
      </w:r>
    </w:p>
    <w:p w:rsidR="00651F52" w:rsidRDefault="00651F52">
      <w:pPr>
        <w:pStyle w:val="ListParagraph"/>
        <w:spacing w:after="0"/>
      </w:pPr>
    </w:p>
    <w:p w:rsidR="00651F52" w:rsidRDefault="006375F7">
      <w:pPr>
        <w:pStyle w:val="ListParagraph"/>
        <w:numPr>
          <w:ilvl w:val="0"/>
          <w:numId w:val="2"/>
        </w:numPr>
        <w:spacing w:after="0"/>
      </w:pPr>
      <w:r>
        <w:t xml:space="preserve">Individual sponsor(s): </w:t>
      </w:r>
    </w:p>
    <w:p w:rsidR="00651F52" w:rsidRDefault="00651F52">
      <w:pPr>
        <w:pStyle w:val="BodyA"/>
        <w:spacing w:after="0"/>
      </w:pPr>
    </w:p>
    <w:p w:rsidR="00651F52" w:rsidRDefault="006375F7">
      <w:pPr>
        <w:pStyle w:val="BodyA"/>
        <w:spacing w:after="0"/>
        <w:ind w:left="720"/>
        <w:rPr>
          <w:i/>
          <w:iCs/>
          <w:color w:val="0070C0"/>
          <w:u w:color="0070C0"/>
        </w:rPr>
      </w:pPr>
      <w:r>
        <w:rPr>
          <w:i/>
          <w:iCs/>
          <w:color w:val="0070C0"/>
          <w:u w:color="0070C0"/>
        </w:rPr>
        <w:t>Chuck Callaway, Las Vegas Metro Police Department</w:t>
      </w:r>
    </w:p>
    <w:p w:rsidR="00651F52" w:rsidRDefault="006375F7">
      <w:pPr>
        <w:pStyle w:val="BodyA"/>
        <w:spacing w:after="0"/>
        <w:ind w:left="720"/>
        <w:rPr>
          <w:i/>
          <w:iCs/>
          <w:color w:val="0070C0"/>
          <w:u w:color="0070C0"/>
        </w:rPr>
      </w:pPr>
      <w:r>
        <w:rPr>
          <w:i/>
          <w:iCs/>
          <w:color w:val="0070C0"/>
          <w:u w:color="0070C0"/>
        </w:rPr>
        <w:t>Brian Sooudi, Assistant City Attorney, City of Reno</w:t>
      </w:r>
    </w:p>
    <w:p w:rsidR="00651F52" w:rsidRDefault="00651F52">
      <w:pPr>
        <w:pStyle w:val="BodyA"/>
        <w:spacing w:after="0"/>
      </w:pPr>
    </w:p>
    <w:p w:rsidR="00651F52" w:rsidRDefault="006375F7">
      <w:pPr>
        <w:pStyle w:val="ListParagraph"/>
        <w:numPr>
          <w:ilvl w:val="0"/>
          <w:numId w:val="2"/>
        </w:numPr>
        <w:spacing w:after="0"/>
      </w:pPr>
      <w:r>
        <w:t>Describe the recommendation:</w:t>
      </w:r>
    </w:p>
    <w:p w:rsidR="00651F52" w:rsidRDefault="00651F52">
      <w:pPr>
        <w:pStyle w:val="ListParagraph"/>
        <w:spacing w:after="0"/>
        <w:ind w:left="0"/>
      </w:pPr>
    </w:p>
    <w:p w:rsidR="00651F52" w:rsidRDefault="006375F7">
      <w:pPr>
        <w:pStyle w:val="BodyA"/>
        <w:spacing w:after="0"/>
        <w:ind w:left="720"/>
        <w:jc w:val="both"/>
        <w:rPr>
          <w:i/>
          <w:iCs/>
          <w:color w:val="0070C0"/>
          <w:u w:color="0070C0"/>
        </w:rPr>
      </w:pPr>
      <w:r>
        <w:rPr>
          <w:i/>
          <w:iCs/>
          <w:color w:val="0070C0"/>
          <w:u w:color="0070C0"/>
        </w:rPr>
        <w:t xml:space="preserve">Ballot Question 2 does not clearly designate a dedicated revenue stream for public safety. The language in section 16 reads; </w:t>
      </w:r>
    </w:p>
    <w:p w:rsidR="00651F52" w:rsidRDefault="00651F52">
      <w:pPr>
        <w:pStyle w:val="BodyA"/>
        <w:spacing w:after="0"/>
        <w:ind w:left="720"/>
        <w:jc w:val="both"/>
        <w:rPr>
          <w:i/>
          <w:iCs/>
          <w:color w:val="0070C0"/>
          <w:u w:color="0070C0"/>
        </w:rPr>
      </w:pPr>
    </w:p>
    <w:p w:rsidR="00651F52" w:rsidRDefault="006375F7">
      <w:pPr>
        <w:pStyle w:val="BodyA"/>
        <w:spacing w:after="0"/>
        <w:ind w:left="720"/>
        <w:jc w:val="both"/>
        <w:rPr>
          <w:i/>
          <w:iCs/>
          <w:color w:val="0070C0"/>
          <w:u w:color="0070C0"/>
        </w:rPr>
      </w:pPr>
      <w:r>
        <w:rPr>
          <w:i/>
          <w:iCs/>
          <w:color w:val="0070C0"/>
          <w:u w:color="0070C0"/>
        </w:rPr>
        <w:t xml:space="preserve">Sec. 16. Any tax revenues, fees, or penalties collected pursuant to sections 1 to 18, inclusive, of this act, first must be expended to pay the costs of the Department and of each locality in carrying out sections 1 to </w:t>
      </w:r>
      <w:r w:rsidR="00451661">
        <w:rPr>
          <w:i/>
          <w:iCs/>
          <w:color w:val="0070C0"/>
          <w:u w:color="0070C0"/>
        </w:rPr>
        <w:t>1</w:t>
      </w:r>
      <w:r>
        <w:rPr>
          <w:i/>
          <w:iCs/>
          <w:color w:val="0070C0"/>
          <w:u w:color="0070C0"/>
        </w:rPr>
        <w:t>8, inclusive, of this act and the regulations adopted pursuant thereto. The Department shall remit any remaining money to the State Treasurer to be deposited to the credit of the State Distributive School Account in the State General Fund.</w:t>
      </w:r>
    </w:p>
    <w:p w:rsidR="00651F52" w:rsidRDefault="00651F52">
      <w:pPr>
        <w:pStyle w:val="BodyA"/>
        <w:spacing w:after="0"/>
        <w:ind w:left="720"/>
        <w:jc w:val="both"/>
        <w:rPr>
          <w:i/>
          <w:iCs/>
          <w:color w:val="0070C0"/>
          <w:u w:color="0070C0"/>
        </w:rPr>
      </w:pPr>
    </w:p>
    <w:p w:rsidR="00651F52" w:rsidRDefault="006375F7">
      <w:pPr>
        <w:pStyle w:val="BodyA"/>
        <w:spacing w:after="0"/>
        <w:ind w:left="720"/>
        <w:jc w:val="both"/>
        <w:rPr>
          <w:i/>
          <w:iCs/>
          <w:color w:val="0070C0"/>
          <w:u w:color="0070C0"/>
        </w:rPr>
      </w:pPr>
      <w:r>
        <w:rPr>
          <w:i/>
          <w:iCs/>
          <w:color w:val="0070C0"/>
          <w:u w:color="0070C0"/>
        </w:rPr>
        <w:t xml:space="preserve">Other states that have legalized recreational marijuana have dedicated revenue directly towards public safety and enforcement. </w:t>
      </w:r>
    </w:p>
    <w:p w:rsidR="00651F52" w:rsidRDefault="00651F52">
      <w:pPr>
        <w:pStyle w:val="BodyA"/>
        <w:spacing w:after="0"/>
        <w:ind w:left="720"/>
      </w:pPr>
    </w:p>
    <w:p w:rsidR="00FC0D07" w:rsidRDefault="006375F7">
      <w:pPr>
        <w:pStyle w:val="BodyA"/>
        <w:spacing w:after="0"/>
        <w:ind w:left="720"/>
        <w:jc w:val="both"/>
        <w:rPr>
          <w:i/>
          <w:iCs/>
          <w:color w:val="0070C0"/>
          <w:u w:color="0070C0"/>
        </w:rPr>
      </w:pPr>
      <w:r>
        <w:rPr>
          <w:i/>
          <w:iCs/>
          <w:color w:val="0070C0"/>
          <w:u w:color="0070C0"/>
        </w:rPr>
        <w:t xml:space="preserve">The recommendation is that the Department of Taxation </w:t>
      </w:r>
      <w:r w:rsidRPr="009C4D00">
        <w:rPr>
          <w:b/>
          <w:i/>
          <w:iCs/>
          <w:color w:val="0070C0"/>
          <w:u w:color="0070C0"/>
        </w:rPr>
        <w:t>and</w:t>
      </w:r>
      <w:r>
        <w:rPr>
          <w:i/>
          <w:iCs/>
          <w:color w:val="0070C0"/>
          <w:u w:color="0070C0"/>
        </w:rPr>
        <w:t xml:space="preserve"> each locality be required to develop a plan outlining how the revenue collected from recreational marijuana will be used to carry out sections 1 to 8, with a priority on public safety and enforcement. </w:t>
      </w:r>
    </w:p>
    <w:p w:rsidR="00FC0D07" w:rsidRDefault="00FC0D07">
      <w:pPr>
        <w:pStyle w:val="BodyA"/>
        <w:spacing w:after="0"/>
        <w:ind w:left="720"/>
        <w:jc w:val="both"/>
        <w:rPr>
          <w:i/>
          <w:iCs/>
          <w:color w:val="0070C0"/>
          <w:u w:color="0070C0"/>
        </w:rPr>
      </w:pPr>
    </w:p>
    <w:p w:rsidR="000E43A7" w:rsidRDefault="006375F7">
      <w:pPr>
        <w:pStyle w:val="BodyA"/>
        <w:spacing w:after="0"/>
        <w:ind w:left="720"/>
        <w:jc w:val="both"/>
        <w:rPr>
          <w:i/>
          <w:iCs/>
          <w:color w:val="0070C0"/>
          <w:u w:color="0070C0"/>
        </w:rPr>
      </w:pPr>
      <w:r>
        <w:rPr>
          <w:i/>
          <w:iCs/>
          <w:color w:val="0070C0"/>
          <w:u w:color="0070C0"/>
        </w:rPr>
        <w:t xml:space="preserve">An </w:t>
      </w:r>
      <w:r w:rsidRPr="000E43A7">
        <w:rPr>
          <w:b/>
          <w:i/>
          <w:iCs/>
          <w:color w:val="0070C0"/>
          <w:u w:color="0070C0"/>
        </w:rPr>
        <w:t xml:space="preserve">example </w:t>
      </w:r>
      <w:r>
        <w:rPr>
          <w:i/>
          <w:iCs/>
          <w:color w:val="0070C0"/>
          <w:u w:color="0070C0"/>
        </w:rPr>
        <w:t>of how Oregon has designated their rev</w:t>
      </w:r>
      <w:r w:rsidR="000E43A7">
        <w:rPr>
          <w:i/>
          <w:iCs/>
          <w:color w:val="0070C0"/>
          <w:u w:color="0070C0"/>
        </w:rPr>
        <w:t>enue is as follows:</w:t>
      </w:r>
    </w:p>
    <w:p w:rsidR="00651F52" w:rsidRDefault="000E43A7">
      <w:pPr>
        <w:pStyle w:val="BodyA"/>
        <w:spacing w:after="0"/>
        <w:ind w:left="720"/>
        <w:jc w:val="both"/>
        <w:rPr>
          <w:i/>
          <w:iCs/>
          <w:color w:val="0070C0"/>
          <w:u w:color="0070C0"/>
        </w:rPr>
      </w:pPr>
      <w:r>
        <w:rPr>
          <w:i/>
          <w:iCs/>
          <w:color w:val="0070C0"/>
          <w:u w:color="0070C0"/>
        </w:rPr>
        <w:t xml:space="preserve"> </w:t>
      </w:r>
    </w:p>
    <w:p w:rsidR="00651F52" w:rsidRDefault="006375F7">
      <w:pPr>
        <w:pStyle w:val="Default"/>
        <w:ind w:left="720"/>
        <w:rPr>
          <w:rFonts w:ascii="Calibri" w:eastAsia="Calibri" w:hAnsi="Calibri" w:cs="Calibri"/>
          <w:i/>
          <w:iCs/>
          <w:color w:val="0070C0"/>
          <w:u w:color="0070C0"/>
          <w:shd w:val="clear" w:color="auto" w:fill="FFFFFF"/>
        </w:rPr>
      </w:pPr>
      <w:r>
        <w:rPr>
          <w:rFonts w:ascii="Calibri" w:eastAsia="Calibri" w:hAnsi="Calibri" w:cs="Calibri"/>
          <w:i/>
          <w:iCs/>
          <w:color w:val="0070C0"/>
          <w:u w:color="0070C0"/>
          <w:shd w:val="clear" w:color="auto" w:fill="FFFFFF"/>
        </w:rPr>
        <w:t>Distribution of availa</w:t>
      </w:r>
      <w:r w:rsidR="00A4110C">
        <w:rPr>
          <w:rFonts w:ascii="Calibri" w:eastAsia="Calibri" w:hAnsi="Calibri" w:cs="Calibri"/>
          <w:i/>
          <w:iCs/>
          <w:color w:val="0070C0"/>
          <w:u w:color="0070C0"/>
          <w:shd w:val="clear" w:color="auto" w:fill="FFFFFF"/>
        </w:rPr>
        <w:t>ble moneys in Marijuana Account:</w:t>
      </w:r>
    </w:p>
    <w:p w:rsidR="00651F52" w:rsidRDefault="00651F52">
      <w:pPr>
        <w:pStyle w:val="Default"/>
        <w:ind w:left="720"/>
        <w:rPr>
          <w:rFonts w:ascii="Calibri" w:eastAsia="Calibri" w:hAnsi="Calibri" w:cs="Calibri"/>
          <w:i/>
          <w:iCs/>
          <w:color w:val="0070C0"/>
          <w:u w:color="0070C0"/>
          <w:shd w:val="clear" w:color="auto" w:fill="FFFFFF"/>
        </w:rPr>
      </w:pPr>
    </w:p>
    <w:p w:rsidR="00651F52" w:rsidRDefault="006375F7">
      <w:pPr>
        <w:pStyle w:val="Default"/>
        <w:ind w:left="720"/>
        <w:rPr>
          <w:rFonts w:ascii="Calibri" w:eastAsia="Calibri" w:hAnsi="Calibri" w:cs="Calibri"/>
          <w:i/>
          <w:iCs/>
          <w:color w:val="0070C0"/>
          <w:u w:color="0070C0"/>
          <w:shd w:val="clear" w:color="auto" w:fill="FFFFFF"/>
        </w:rPr>
      </w:pPr>
      <w:r>
        <w:rPr>
          <w:rFonts w:ascii="Calibri" w:eastAsia="Calibri" w:hAnsi="Calibri" w:cs="Calibri"/>
          <w:i/>
          <w:iCs/>
          <w:color w:val="0070C0"/>
          <w:u w:color="0070C0"/>
          <w:shd w:val="clear" w:color="auto" w:fill="FFFFFF"/>
        </w:rPr>
        <w:t> (1) There is established Marijuana Account, separate and distinct from the General Fund.</w:t>
      </w:r>
    </w:p>
    <w:p w:rsidR="00651F52" w:rsidRDefault="00651F52">
      <w:pPr>
        <w:pStyle w:val="Default"/>
        <w:ind w:left="720"/>
        <w:rPr>
          <w:rFonts w:ascii="Calibri" w:eastAsia="Calibri" w:hAnsi="Calibri" w:cs="Calibri"/>
          <w:i/>
          <w:iCs/>
          <w:color w:val="0070C0"/>
          <w:u w:color="0070C0"/>
          <w:shd w:val="clear" w:color="auto" w:fill="FFFFFF"/>
        </w:rPr>
      </w:pPr>
    </w:p>
    <w:p w:rsidR="00651F52" w:rsidRDefault="006375F7">
      <w:pPr>
        <w:pStyle w:val="Default"/>
        <w:ind w:left="720"/>
        <w:rPr>
          <w:rFonts w:ascii="Calibri" w:eastAsia="Calibri" w:hAnsi="Calibri" w:cs="Calibri"/>
          <w:i/>
          <w:iCs/>
          <w:color w:val="0070C0"/>
          <w:u w:color="0070C0"/>
          <w:shd w:val="clear" w:color="auto" w:fill="FFFFFF"/>
        </w:rPr>
      </w:pPr>
      <w:r>
        <w:rPr>
          <w:rFonts w:ascii="Calibri" w:eastAsia="Calibri" w:hAnsi="Calibri" w:cs="Calibri"/>
          <w:i/>
          <w:iCs/>
          <w:color w:val="0070C0"/>
          <w:u w:color="0070C0"/>
          <w:shd w:val="clear" w:color="auto" w:fill="FFFFFF"/>
        </w:rPr>
        <w:t> (2) At the end of each month, the Department of Taxation shall certify the amount of moneys available for distribution in the Marijuana Account and, after withholding such moneys as it may deem necessary to carry out its obligations, shall within 35 days of the month for which a distribution is made distribute the moneys as follows: </w:t>
      </w:r>
    </w:p>
    <w:p w:rsidR="00651F52" w:rsidRDefault="00651F52">
      <w:pPr>
        <w:pStyle w:val="Default"/>
        <w:ind w:left="720"/>
        <w:rPr>
          <w:rFonts w:ascii="Calibri" w:eastAsia="Calibri" w:hAnsi="Calibri" w:cs="Calibri"/>
          <w:i/>
          <w:iCs/>
          <w:color w:val="0070C0"/>
          <w:u w:color="0070C0"/>
          <w:shd w:val="clear" w:color="auto" w:fill="FFFFFF"/>
        </w:rPr>
      </w:pPr>
    </w:p>
    <w:p w:rsidR="00651F52" w:rsidRDefault="006375F7">
      <w:pPr>
        <w:pStyle w:val="Default"/>
        <w:ind w:left="720"/>
        <w:rPr>
          <w:rFonts w:ascii="Calibri" w:eastAsia="Calibri" w:hAnsi="Calibri" w:cs="Calibri"/>
          <w:i/>
          <w:iCs/>
          <w:color w:val="0070C0"/>
          <w:u w:color="0070C0"/>
          <w:shd w:val="clear" w:color="auto" w:fill="FFFFFF"/>
        </w:rPr>
      </w:pPr>
      <w:r>
        <w:rPr>
          <w:rFonts w:ascii="Calibri" w:eastAsia="Calibri" w:hAnsi="Calibri" w:cs="Calibri"/>
          <w:i/>
          <w:iCs/>
          <w:color w:val="0070C0"/>
          <w:u w:color="0070C0"/>
          <w:shd w:val="clear" w:color="auto" w:fill="FFFFFF"/>
        </w:rPr>
        <w:t>Sections (c) and (d) refer directly to public safety;</w:t>
      </w:r>
    </w:p>
    <w:p w:rsidR="00651F52" w:rsidRDefault="00651F52">
      <w:pPr>
        <w:pStyle w:val="Default"/>
        <w:ind w:left="720"/>
        <w:rPr>
          <w:rFonts w:ascii="Calibri" w:eastAsia="Calibri" w:hAnsi="Calibri" w:cs="Calibri"/>
          <w:i/>
          <w:iCs/>
          <w:color w:val="0070C0"/>
          <w:u w:color="0070C0"/>
          <w:shd w:val="clear" w:color="auto" w:fill="FFFFFF"/>
        </w:rPr>
      </w:pPr>
    </w:p>
    <w:p w:rsidR="00651F52" w:rsidRDefault="006375F7">
      <w:pPr>
        <w:pStyle w:val="Default"/>
        <w:ind w:left="720"/>
        <w:rPr>
          <w:rFonts w:ascii="Calibri" w:eastAsia="Calibri" w:hAnsi="Calibri" w:cs="Calibri"/>
          <w:i/>
          <w:iCs/>
          <w:color w:val="0070C0"/>
          <w:u w:color="0070C0"/>
          <w:shd w:val="clear" w:color="auto" w:fill="FFFFFF"/>
        </w:rPr>
      </w:pPr>
      <w:r>
        <w:rPr>
          <w:rFonts w:ascii="Calibri" w:eastAsia="Calibri" w:hAnsi="Calibri" w:cs="Calibri"/>
          <w:i/>
          <w:iCs/>
          <w:color w:val="0070C0"/>
          <w:u w:color="0070C0"/>
          <w:shd w:val="clear" w:color="auto" w:fill="FFFFFF"/>
        </w:rPr>
        <w:t> (c) Fifteen percent shall be transferred to the State Police Account;</w:t>
      </w:r>
    </w:p>
    <w:p w:rsidR="00651F52" w:rsidRDefault="00651F52">
      <w:pPr>
        <w:pStyle w:val="Default"/>
        <w:ind w:left="720"/>
        <w:rPr>
          <w:rFonts w:ascii="Calibri" w:eastAsia="Calibri" w:hAnsi="Calibri" w:cs="Calibri"/>
          <w:i/>
          <w:iCs/>
          <w:color w:val="0070C0"/>
          <w:u w:color="0070C0"/>
          <w:shd w:val="clear" w:color="auto" w:fill="FFFFFF"/>
        </w:rPr>
      </w:pPr>
    </w:p>
    <w:p w:rsidR="00651F52" w:rsidRDefault="006375F7">
      <w:pPr>
        <w:pStyle w:val="Default"/>
        <w:ind w:left="720"/>
        <w:rPr>
          <w:rFonts w:ascii="Calibri" w:eastAsia="Calibri" w:hAnsi="Calibri" w:cs="Calibri"/>
          <w:i/>
          <w:iCs/>
          <w:color w:val="0070C0"/>
          <w:u w:color="0070C0"/>
          <w:shd w:val="clear" w:color="auto" w:fill="FFFFFF"/>
        </w:rPr>
      </w:pPr>
      <w:r>
        <w:rPr>
          <w:rFonts w:ascii="Calibri" w:eastAsia="Calibri" w:hAnsi="Calibri" w:cs="Calibri"/>
          <w:i/>
          <w:iCs/>
          <w:color w:val="0070C0"/>
          <w:u w:color="0070C0"/>
          <w:shd w:val="clear" w:color="auto" w:fill="FFFFFF"/>
        </w:rPr>
        <w:t> (d) To assist local law enforcement in performing its duties under this Act, ten percent shall be transferred to the cities of the state in the following way...</w:t>
      </w:r>
    </w:p>
    <w:p w:rsidR="00651F52" w:rsidRDefault="00651F52">
      <w:pPr>
        <w:pStyle w:val="Default"/>
        <w:ind w:left="720"/>
        <w:rPr>
          <w:rFonts w:ascii="Calibri" w:eastAsia="Calibri" w:hAnsi="Calibri" w:cs="Calibri"/>
          <w:i/>
          <w:iCs/>
          <w:color w:val="0070C0"/>
          <w:sz w:val="30"/>
          <w:szCs w:val="30"/>
          <w:u w:color="0070C0"/>
          <w:shd w:val="clear" w:color="auto" w:fill="FFFFFF"/>
        </w:rPr>
      </w:pPr>
    </w:p>
    <w:p w:rsidR="00651F52" w:rsidRDefault="006375F7">
      <w:pPr>
        <w:pStyle w:val="Default"/>
        <w:ind w:left="720"/>
        <w:rPr>
          <w:rFonts w:ascii="Calibri" w:eastAsia="Calibri" w:hAnsi="Calibri" w:cs="Calibri"/>
          <w:i/>
          <w:iCs/>
          <w:color w:val="0070C0"/>
          <w:u w:color="0070C0"/>
          <w:shd w:val="clear" w:color="auto" w:fill="FFFFFF"/>
        </w:rPr>
      </w:pPr>
      <w:r>
        <w:rPr>
          <w:rFonts w:ascii="Calibri" w:eastAsia="Calibri" w:hAnsi="Calibri" w:cs="Calibri"/>
          <w:i/>
          <w:iCs/>
          <w:color w:val="0070C0"/>
          <w:u w:color="0070C0"/>
          <w:shd w:val="clear" w:color="auto" w:fill="FFFFFF"/>
        </w:rPr>
        <w:t>In Nevada, areas that should be a priority for public safety funding include, but are not limited to;</w:t>
      </w:r>
    </w:p>
    <w:p w:rsidR="00651F52" w:rsidRDefault="00651F52">
      <w:pPr>
        <w:pStyle w:val="ListParagraph"/>
        <w:spacing w:after="0"/>
        <w:rPr>
          <w:color w:val="2C7AA2"/>
        </w:rPr>
      </w:pPr>
    </w:p>
    <w:p w:rsidR="00651F52" w:rsidRPr="009C4D00" w:rsidRDefault="006375F7">
      <w:pPr>
        <w:pStyle w:val="ListParagraph"/>
        <w:numPr>
          <w:ilvl w:val="0"/>
          <w:numId w:val="4"/>
        </w:numPr>
        <w:spacing w:after="0"/>
        <w:rPr>
          <w:i/>
          <w:iCs/>
          <w:color w:val="0070C0"/>
        </w:rPr>
      </w:pPr>
      <w:r w:rsidRPr="009C4D00">
        <w:rPr>
          <w:i/>
          <w:iCs/>
          <w:color w:val="0070C0"/>
        </w:rPr>
        <w:t xml:space="preserve"> Training of police officers in Drug Recognition and impairment.</w:t>
      </w:r>
    </w:p>
    <w:p w:rsidR="00651F52" w:rsidRPr="009C4D00" w:rsidRDefault="006375F7">
      <w:pPr>
        <w:pStyle w:val="ListParagraph"/>
        <w:numPr>
          <w:ilvl w:val="0"/>
          <w:numId w:val="4"/>
        </w:numPr>
        <w:spacing w:after="0"/>
        <w:rPr>
          <w:i/>
          <w:iCs/>
          <w:color w:val="0070C0"/>
        </w:rPr>
      </w:pPr>
      <w:r w:rsidRPr="009C4D00">
        <w:rPr>
          <w:i/>
          <w:iCs/>
          <w:color w:val="0070C0"/>
        </w:rPr>
        <w:t xml:space="preserve"> Increased costs of calls for service/resources related to recreational marijuana enforcement.</w:t>
      </w:r>
    </w:p>
    <w:p w:rsidR="00651F52" w:rsidRPr="009C4D00" w:rsidRDefault="006375F7">
      <w:pPr>
        <w:pStyle w:val="ListParagraph"/>
        <w:numPr>
          <w:ilvl w:val="0"/>
          <w:numId w:val="4"/>
        </w:numPr>
        <w:spacing w:after="0"/>
        <w:rPr>
          <w:i/>
          <w:iCs/>
          <w:color w:val="0070C0"/>
        </w:rPr>
      </w:pPr>
      <w:r w:rsidRPr="009C4D00">
        <w:rPr>
          <w:i/>
          <w:iCs/>
          <w:color w:val="0070C0"/>
        </w:rPr>
        <w:t xml:space="preserve"> Retraining and purchase of police drug recognition K-9 animals.</w:t>
      </w:r>
    </w:p>
    <w:p w:rsidR="00651F52" w:rsidRPr="009C4D00" w:rsidRDefault="006375F7">
      <w:pPr>
        <w:pStyle w:val="ListParagraph"/>
        <w:numPr>
          <w:ilvl w:val="0"/>
          <w:numId w:val="4"/>
        </w:numPr>
        <w:spacing w:after="0"/>
        <w:rPr>
          <w:i/>
          <w:iCs/>
          <w:color w:val="0070C0"/>
        </w:rPr>
      </w:pPr>
      <w:r w:rsidRPr="009C4D00">
        <w:rPr>
          <w:i/>
          <w:iCs/>
          <w:color w:val="0070C0"/>
        </w:rPr>
        <w:t xml:space="preserve"> Jail Based programs for offenders to reduce recidivism and provide assistance for substance abuse.</w:t>
      </w:r>
    </w:p>
    <w:p w:rsidR="00651F52" w:rsidRPr="009C4D00" w:rsidRDefault="006375F7">
      <w:pPr>
        <w:pStyle w:val="ListParagraph"/>
        <w:numPr>
          <w:ilvl w:val="0"/>
          <w:numId w:val="4"/>
        </w:numPr>
        <w:spacing w:after="0"/>
        <w:rPr>
          <w:i/>
          <w:iCs/>
          <w:color w:val="0070C0"/>
        </w:rPr>
      </w:pPr>
      <w:r w:rsidRPr="009C4D00">
        <w:rPr>
          <w:i/>
          <w:iCs/>
          <w:color w:val="0070C0"/>
        </w:rPr>
        <w:t xml:space="preserve"> Purchase of new technology for marijuana enforcement such as field impairment equipment and tracking software for data collection.</w:t>
      </w:r>
    </w:p>
    <w:p w:rsidR="00651F52" w:rsidRPr="009C4D00" w:rsidRDefault="006375F7">
      <w:pPr>
        <w:pStyle w:val="ListParagraph"/>
        <w:numPr>
          <w:ilvl w:val="0"/>
          <w:numId w:val="4"/>
        </w:numPr>
        <w:spacing w:after="0"/>
        <w:rPr>
          <w:i/>
          <w:iCs/>
          <w:color w:val="0070C0"/>
        </w:rPr>
      </w:pPr>
      <w:r w:rsidRPr="009C4D00">
        <w:rPr>
          <w:i/>
          <w:iCs/>
          <w:color w:val="0070C0"/>
        </w:rPr>
        <w:t>Additional costs to forensic laboratories for blood and saliva testing, and related equipment.</w:t>
      </w:r>
    </w:p>
    <w:p w:rsidR="00651F52" w:rsidRPr="009C4D00" w:rsidRDefault="006375F7">
      <w:pPr>
        <w:pStyle w:val="ListParagraph"/>
        <w:numPr>
          <w:ilvl w:val="0"/>
          <w:numId w:val="4"/>
        </w:numPr>
        <w:spacing w:after="0"/>
        <w:rPr>
          <w:i/>
          <w:iCs/>
          <w:color w:val="0070C0"/>
        </w:rPr>
      </w:pPr>
      <w:r w:rsidRPr="009C4D00">
        <w:rPr>
          <w:i/>
          <w:iCs/>
          <w:color w:val="0070C0"/>
        </w:rPr>
        <w:t xml:space="preserve"> Code enforcement, safety inspections, etc...</w:t>
      </w:r>
    </w:p>
    <w:p w:rsidR="00651F52" w:rsidRPr="009C4D00" w:rsidRDefault="006375F7">
      <w:pPr>
        <w:pStyle w:val="ListParagraph"/>
        <w:spacing w:after="0"/>
        <w:rPr>
          <w:i/>
          <w:iCs/>
          <w:color w:val="0070C0"/>
        </w:rPr>
      </w:pPr>
      <w:r w:rsidRPr="009C4D00">
        <w:rPr>
          <w:i/>
          <w:iCs/>
          <w:color w:val="0070C0"/>
        </w:rPr>
        <w:t>(h) Hiring of additional personnel to address the black market and illegal marijuana activity.</w:t>
      </w:r>
    </w:p>
    <w:p w:rsidR="00651F52" w:rsidRPr="009C4D00" w:rsidRDefault="00651F52">
      <w:pPr>
        <w:pStyle w:val="ListParagraph"/>
        <w:spacing w:after="0"/>
        <w:rPr>
          <w:i/>
          <w:iCs/>
          <w:color w:val="0070C0"/>
        </w:rPr>
      </w:pPr>
    </w:p>
    <w:p w:rsidR="00651F52" w:rsidRDefault="006375F7">
      <w:pPr>
        <w:pStyle w:val="ListParagraph"/>
        <w:numPr>
          <w:ilvl w:val="0"/>
          <w:numId w:val="2"/>
        </w:numPr>
        <w:spacing w:after="0"/>
      </w:pPr>
      <w:r>
        <w:t>Which guiding principle(s) does this recommendation support?</w:t>
      </w:r>
    </w:p>
    <w:p w:rsidR="00651F52" w:rsidRDefault="00651F52">
      <w:pPr>
        <w:pStyle w:val="BodyA"/>
        <w:spacing w:after="0"/>
      </w:pPr>
    </w:p>
    <w:p w:rsidR="00651F52" w:rsidRDefault="006375F7">
      <w:pPr>
        <w:pStyle w:val="BodyA"/>
        <w:spacing w:after="0"/>
        <w:ind w:left="720"/>
        <w:jc w:val="both"/>
        <w:rPr>
          <w:i/>
          <w:iCs/>
          <w:color w:val="0070C0"/>
          <w:u w:color="0070C0"/>
        </w:rPr>
      </w:pPr>
      <w:r>
        <w:rPr>
          <w:i/>
          <w:iCs/>
          <w:color w:val="0070C0"/>
          <w:u w:color="0070C0"/>
        </w:rPr>
        <w:t>Guiding Principle 1 - Promote the health, safety, and well-being of Nevada’s communities.</w:t>
      </w:r>
    </w:p>
    <w:p w:rsidR="00651F52" w:rsidRDefault="00651F52">
      <w:pPr>
        <w:pStyle w:val="BodyA"/>
        <w:spacing w:after="0"/>
        <w:ind w:left="720"/>
        <w:jc w:val="both"/>
        <w:rPr>
          <w:i/>
          <w:iCs/>
          <w:color w:val="0070C0"/>
          <w:u w:color="0070C0"/>
        </w:rPr>
      </w:pPr>
    </w:p>
    <w:p w:rsidR="00651F52" w:rsidRDefault="006375F7">
      <w:pPr>
        <w:pStyle w:val="BodyA"/>
        <w:spacing w:after="0"/>
        <w:ind w:left="720"/>
        <w:jc w:val="both"/>
        <w:rPr>
          <w:i/>
          <w:iCs/>
          <w:color w:val="0070C0"/>
          <w:u w:color="0070C0"/>
        </w:rPr>
      </w:pPr>
      <w:r>
        <w:rPr>
          <w:i/>
          <w:iCs/>
          <w:color w:val="0070C0"/>
          <w:u w:color="0070C0"/>
        </w:rPr>
        <w:t>Guiding Principle 5 - Begin a discussion between the State and local governments regarding the costs of carrying out Question 2.</w:t>
      </w:r>
    </w:p>
    <w:p w:rsidR="00651F52" w:rsidRDefault="00651F52">
      <w:pPr>
        <w:pStyle w:val="BodyA"/>
        <w:spacing w:after="0"/>
      </w:pPr>
    </w:p>
    <w:p w:rsidR="00651F52" w:rsidRDefault="00651F52">
      <w:pPr>
        <w:pStyle w:val="BodyA"/>
        <w:spacing w:after="0"/>
      </w:pPr>
    </w:p>
    <w:p w:rsidR="00651F52" w:rsidRDefault="006375F7">
      <w:pPr>
        <w:pStyle w:val="ListParagraph"/>
        <w:numPr>
          <w:ilvl w:val="0"/>
          <w:numId w:val="2"/>
        </w:numPr>
        <w:spacing w:after="0"/>
      </w:pPr>
      <w:r>
        <w:t xml:space="preserve">What provision(s) of Question 2 does this recommendation apply to?  </w:t>
      </w:r>
    </w:p>
    <w:p w:rsidR="00651F52" w:rsidRDefault="00651F52">
      <w:pPr>
        <w:pStyle w:val="ListParagraph"/>
        <w:spacing w:after="0"/>
      </w:pPr>
    </w:p>
    <w:p w:rsidR="00651F52" w:rsidRDefault="006375F7">
      <w:pPr>
        <w:pStyle w:val="ListParagraph"/>
        <w:spacing w:after="0"/>
        <w:jc w:val="both"/>
        <w:rPr>
          <w:i/>
          <w:iCs/>
          <w:color w:val="0070C0"/>
          <w:u w:color="0070C0"/>
        </w:rPr>
      </w:pPr>
      <w:r>
        <w:rPr>
          <w:i/>
          <w:iCs/>
          <w:color w:val="0070C0"/>
          <w:u w:color="0070C0"/>
        </w:rPr>
        <w:t>This recommendation applies to Section 16 of Question 2.</w:t>
      </w:r>
    </w:p>
    <w:p w:rsidR="00651F52" w:rsidRDefault="00651F52">
      <w:pPr>
        <w:pStyle w:val="ListParagraph"/>
        <w:spacing w:after="0"/>
        <w:jc w:val="both"/>
        <w:rPr>
          <w:i/>
          <w:iCs/>
          <w:color w:val="0070C0"/>
          <w:u w:color="0070C0"/>
        </w:rPr>
      </w:pPr>
    </w:p>
    <w:p w:rsidR="00651F52" w:rsidRDefault="006375F7">
      <w:pPr>
        <w:pStyle w:val="ListParagraph"/>
        <w:spacing w:after="0"/>
        <w:jc w:val="both"/>
        <w:rPr>
          <w:i/>
          <w:iCs/>
          <w:color w:val="0070C0"/>
          <w:u w:color="0070C0"/>
        </w:rPr>
      </w:pPr>
      <w:r>
        <w:rPr>
          <w:i/>
          <w:iCs/>
          <w:color w:val="0070C0"/>
          <w:u w:color="0070C0"/>
        </w:rPr>
        <w:t xml:space="preserve">Any tax revenue, fees or penalties collected pursuant to section 1 to 18, inclusive, of this act, first must be expended to pay the costs of the Department of each locality in carrying out sections 1 to </w:t>
      </w:r>
      <w:r w:rsidR="00AE64BC">
        <w:rPr>
          <w:i/>
          <w:iCs/>
          <w:color w:val="0070C0"/>
          <w:u w:color="0070C0"/>
        </w:rPr>
        <w:t>1</w:t>
      </w:r>
      <w:r>
        <w:rPr>
          <w:i/>
          <w:iCs/>
          <w:color w:val="0070C0"/>
          <w:u w:color="0070C0"/>
        </w:rPr>
        <w:t>8, inclusive, of this act and the regulations adopted pursuant thereto.  The Department shall remit any remaining money to the State Treasurer to be deposited to the credit of the State Distributive School Account in the State General Fund.</w:t>
      </w:r>
    </w:p>
    <w:p w:rsidR="00651F52" w:rsidRDefault="00651F52">
      <w:pPr>
        <w:pStyle w:val="ListParagraph"/>
        <w:spacing w:after="0"/>
      </w:pPr>
    </w:p>
    <w:p w:rsidR="00651F52" w:rsidRDefault="006375F7">
      <w:pPr>
        <w:pStyle w:val="ListParagraph"/>
        <w:numPr>
          <w:ilvl w:val="0"/>
          <w:numId w:val="2"/>
        </w:numPr>
        <w:spacing w:after="0"/>
      </w:pPr>
      <w:r>
        <w:t>What issue(s) does the recommendation resolve?</w:t>
      </w:r>
    </w:p>
    <w:p w:rsidR="00651F52" w:rsidRDefault="00651F52">
      <w:pPr>
        <w:pStyle w:val="BodyA"/>
        <w:spacing w:after="0"/>
      </w:pPr>
    </w:p>
    <w:p w:rsidR="00651F52" w:rsidRDefault="006375F7">
      <w:pPr>
        <w:pStyle w:val="BodyA"/>
        <w:spacing w:after="0"/>
        <w:ind w:left="720"/>
        <w:jc w:val="both"/>
        <w:rPr>
          <w:i/>
          <w:iCs/>
          <w:color w:val="0070C0"/>
          <w:u w:color="0070C0"/>
        </w:rPr>
      </w:pPr>
      <w:r>
        <w:rPr>
          <w:i/>
          <w:iCs/>
          <w:color w:val="0070C0"/>
          <w:u w:color="0070C0"/>
        </w:rPr>
        <w:t xml:space="preserve">Local Law enforcement and public safety are impacted by the legalization of recreational marijuana in two ways. </w:t>
      </w:r>
    </w:p>
    <w:p w:rsidR="00651F52" w:rsidRDefault="00651F52">
      <w:pPr>
        <w:pStyle w:val="BodyA"/>
        <w:spacing w:after="0"/>
        <w:ind w:left="720"/>
        <w:jc w:val="both"/>
        <w:rPr>
          <w:i/>
          <w:iCs/>
          <w:color w:val="0070C0"/>
          <w:u w:color="0070C0"/>
        </w:rPr>
      </w:pPr>
    </w:p>
    <w:p w:rsidR="00651F52" w:rsidRDefault="006375F7">
      <w:pPr>
        <w:pStyle w:val="BodyA"/>
        <w:spacing w:after="0"/>
        <w:ind w:left="720"/>
        <w:jc w:val="both"/>
        <w:rPr>
          <w:i/>
          <w:iCs/>
          <w:color w:val="0070C0"/>
          <w:u w:color="0070C0"/>
        </w:rPr>
      </w:pPr>
      <w:r>
        <w:rPr>
          <w:i/>
          <w:iCs/>
          <w:color w:val="0070C0"/>
          <w:u w:color="0070C0"/>
        </w:rPr>
        <w:t xml:space="preserve">First, there is a need to regulate and enforce the industry regulations and local business licensing requirements that will be enacted. While the Department of Taxation is the primary entity responsible for the enforcement of regulations, complaints, allegations of criminal conduct, and crimes directed at the industry will undoubtedly fall on local law enforcement for investigation. </w:t>
      </w:r>
    </w:p>
    <w:p w:rsidR="00651F52" w:rsidRDefault="00651F52">
      <w:pPr>
        <w:pStyle w:val="BodyA"/>
        <w:spacing w:after="0"/>
        <w:ind w:left="720"/>
        <w:jc w:val="both"/>
        <w:rPr>
          <w:i/>
          <w:iCs/>
          <w:color w:val="0070C0"/>
          <w:u w:color="0070C0"/>
        </w:rPr>
      </w:pPr>
    </w:p>
    <w:p w:rsidR="00651F52" w:rsidRDefault="006375F7">
      <w:pPr>
        <w:pStyle w:val="BodyA"/>
        <w:spacing w:after="0"/>
        <w:ind w:left="720"/>
        <w:jc w:val="both"/>
        <w:rPr>
          <w:i/>
          <w:iCs/>
          <w:color w:val="0070C0"/>
          <w:u w:color="0070C0"/>
        </w:rPr>
      </w:pPr>
      <w:r>
        <w:rPr>
          <w:i/>
          <w:iCs/>
          <w:color w:val="0070C0"/>
          <w:u w:color="0070C0"/>
        </w:rPr>
        <w:lastRenderedPageBreak/>
        <w:t>Second, law enforcement must deal with crimes occurring outside of industry related to recreational marijuana. This includes increase in driving impaired by marijuana users, required training for officers, problems with home grow operations, possible increase in black market activity, public consumption, robbery and burglary of businesses, increased homelessness, change of practices and procedures for detention centers, increase on crime labs, etc...</w:t>
      </w:r>
    </w:p>
    <w:p w:rsidR="00651F52" w:rsidRDefault="00651F52">
      <w:pPr>
        <w:pStyle w:val="BodyA"/>
        <w:spacing w:after="0"/>
        <w:ind w:left="720"/>
        <w:jc w:val="both"/>
        <w:rPr>
          <w:i/>
          <w:iCs/>
          <w:color w:val="0070C0"/>
          <w:u w:color="0070C0"/>
        </w:rPr>
      </w:pPr>
    </w:p>
    <w:p w:rsidR="00651F52" w:rsidRDefault="006375F7">
      <w:pPr>
        <w:pStyle w:val="BodyA"/>
        <w:spacing w:after="0"/>
        <w:ind w:left="720"/>
        <w:jc w:val="both"/>
        <w:rPr>
          <w:i/>
          <w:iCs/>
          <w:color w:val="0070C0"/>
          <w:u w:color="0070C0"/>
        </w:rPr>
      </w:pPr>
      <w:r>
        <w:rPr>
          <w:i/>
          <w:iCs/>
          <w:color w:val="0070C0"/>
          <w:u w:color="0070C0"/>
        </w:rPr>
        <w:t xml:space="preserve">These impacts will require additional police resources, investigators, training requirements, purchase of certain equipment. The complete scope of the impact is currently unknown. </w:t>
      </w:r>
    </w:p>
    <w:p w:rsidR="00651F52" w:rsidRDefault="00651F52">
      <w:pPr>
        <w:pStyle w:val="BodyA"/>
        <w:spacing w:after="0"/>
      </w:pPr>
    </w:p>
    <w:p w:rsidR="00651F52" w:rsidRDefault="006375F7">
      <w:pPr>
        <w:pStyle w:val="ListParagraph"/>
        <w:numPr>
          <w:ilvl w:val="0"/>
          <w:numId w:val="2"/>
        </w:numPr>
        <w:spacing w:after="0"/>
      </w:pPr>
      <w:r>
        <w:t>Was there dissent in the group regarding this recommendation?  If yes, please provide a summary of the dissenting opinion regarding the recommendation.</w:t>
      </w:r>
    </w:p>
    <w:p w:rsidR="00651F52" w:rsidRDefault="00651F52">
      <w:pPr>
        <w:pStyle w:val="BodyA"/>
        <w:spacing w:after="0"/>
      </w:pPr>
    </w:p>
    <w:p w:rsidR="00651F52" w:rsidRDefault="006375F7">
      <w:pPr>
        <w:pStyle w:val="BodyA"/>
        <w:spacing w:after="0"/>
        <w:ind w:left="720"/>
        <w:rPr>
          <w:i/>
          <w:iCs/>
          <w:color w:val="0070C0"/>
          <w:u w:color="0070C0"/>
        </w:rPr>
      </w:pPr>
      <w:r>
        <w:rPr>
          <w:i/>
          <w:iCs/>
          <w:color w:val="0070C0"/>
          <w:u w:color="0070C0"/>
        </w:rPr>
        <w:t>None at this time</w:t>
      </w:r>
    </w:p>
    <w:p w:rsidR="00651F52" w:rsidRDefault="00651F52">
      <w:pPr>
        <w:pStyle w:val="BodyA"/>
        <w:spacing w:after="0"/>
      </w:pPr>
    </w:p>
    <w:p w:rsidR="00651F52" w:rsidRDefault="006375F7">
      <w:pPr>
        <w:pStyle w:val="ListParagraph"/>
        <w:numPr>
          <w:ilvl w:val="0"/>
          <w:numId w:val="2"/>
        </w:numPr>
        <w:spacing w:after="0"/>
      </w:pPr>
      <w:r>
        <w:t>What action(s) will be necessary to adopt the recommendation?  Will statute, policy, regulations, etc. need to be addressed?</w:t>
      </w:r>
    </w:p>
    <w:p w:rsidR="00651F52" w:rsidRDefault="00651F52">
      <w:pPr>
        <w:pStyle w:val="ListParagraph"/>
        <w:spacing w:after="0"/>
      </w:pPr>
    </w:p>
    <w:p w:rsidR="00651F52" w:rsidRDefault="006375F7">
      <w:pPr>
        <w:pStyle w:val="ListParagraph"/>
        <w:spacing w:after="0"/>
        <w:jc w:val="both"/>
        <w:rPr>
          <w:i/>
          <w:iCs/>
          <w:color w:val="0070C0"/>
          <w:u w:color="0070C0"/>
        </w:rPr>
      </w:pPr>
      <w:r>
        <w:rPr>
          <w:i/>
          <w:iCs/>
          <w:color w:val="0070C0"/>
          <w:u w:color="0070C0"/>
        </w:rPr>
        <w:t>This recommendation could be codified in law by the Nevada Legislature, outlined in the Department of Taxation regulation process, and/or directed to local government by action of the Governor's Office.</w:t>
      </w:r>
    </w:p>
    <w:p w:rsidR="00651F52" w:rsidRDefault="00651F52">
      <w:pPr>
        <w:pStyle w:val="ListParagraph"/>
        <w:spacing w:after="0"/>
      </w:pPr>
    </w:p>
    <w:p w:rsidR="00651F52" w:rsidRDefault="006375F7">
      <w:pPr>
        <w:pStyle w:val="ListParagraph"/>
        <w:numPr>
          <w:ilvl w:val="0"/>
          <w:numId w:val="2"/>
        </w:numPr>
        <w:spacing w:after="0"/>
      </w:pPr>
      <w:r>
        <w:t>Additional information (cost of implementation, priority according to the recommendations, etc.).</w:t>
      </w:r>
    </w:p>
    <w:p w:rsidR="00651F52" w:rsidRDefault="00651F52">
      <w:pPr>
        <w:pStyle w:val="BodyA"/>
        <w:spacing w:after="0"/>
      </w:pPr>
    </w:p>
    <w:p w:rsidR="00651F52" w:rsidRDefault="006375F7">
      <w:pPr>
        <w:pStyle w:val="BodyA"/>
        <w:spacing w:after="0"/>
        <w:ind w:left="720"/>
        <w:jc w:val="both"/>
        <w:rPr>
          <w:i/>
          <w:iCs/>
          <w:color w:val="0070C0"/>
          <w:u w:color="0070C0"/>
        </w:rPr>
      </w:pPr>
      <w:r>
        <w:rPr>
          <w:i/>
          <w:iCs/>
          <w:color w:val="0070C0"/>
          <w:u w:color="0070C0"/>
        </w:rPr>
        <w:t>Local government could claim a potential cost associated to the allocation of resources to develop a revenue plan for public safety.</w:t>
      </w:r>
    </w:p>
    <w:p w:rsidR="00651F52" w:rsidRDefault="00651F52">
      <w:pPr>
        <w:pStyle w:val="BodyA"/>
        <w:spacing w:after="0"/>
      </w:pPr>
    </w:p>
    <w:sectPr w:rsidR="00651F52">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BB2" w:rsidRDefault="000D4BB2">
      <w:r>
        <w:separator/>
      </w:r>
    </w:p>
  </w:endnote>
  <w:endnote w:type="continuationSeparator" w:id="0">
    <w:p w:rsidR="000D4BB2" w:rsidRDefault="000D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F52" w:rsidRDefault="006375F7">
    <w:pPr>
      <w:pStyle w:val="BodyA"/>
      <w:tabs>
        <w:tab w:val="center" w:pos="4680"/>
        <w:tab w:val="right" w:pos="9340"/>
      </w:tabs>
      <w:spacing w:after="0" w:line="240" w:lineRule="auto"/>
      <w:rPr>
        <w:i/>
        <w:iCs/>
        <w:color w:val="3737A5"/>
        <w:sz w:val="16"/>
        <w:szCs w:val="16"/>
        <w:u w:color="3737A5"/>
      </w:rPr>
    </w:pPr>
    <w:r>
      <w:rPr>
        <w:b/>
        <w:bCs/>
        <w:i/>
        <w:iCs/>
        <w:color w:val="3737A5"/>
        <w:sz w:val="16"/>
        <w:szCs w:val="16"/>
        <w:u w:color="3737A5"/>
      </w:rPr>
      <w:t>Revenue for Public Safety</w:t>
    </w:r>
    <w:r w:rsidR="00B27C0F">
      <w:rPr>
        <w:b/>
        <w:bCs/>
        <w:i/>
        <w:iCs/>
        <w:color w:val="3737A5"/>
        <w:sz w:val="16"/>
        <w:szCs w:val="16"/>
        <w:u w:color="3737A5"/>
      </w:rPr>
      <w:t xml:space="preserve"> v. 2 - Recommendation</w:t>
    </w:r>
    <w:r>
      <w:rPr>
        <w:i/>
        <w:iCs/>
        <w:color w:val="3737A5"/>
        <w:sz w:val="16"/>
        <w:szCs w:val="16"/>
        <w:u w:color="3737A5"/>
      </w:rPr>
      <w:tab/>
    </w:r>
    <w:r>
      <w:rPr>
        <w:i/>
        <w:iCs/>
        <w:color w:val="3737A5"/>
        <w:sz w:val="16"/>
        <w:szCs w:val="16"/>
        <w:u w:color="3737A5"/>
      </w:rPr>
      <w:tab/>
      <w:t>April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BB2" w:rsidRDefault="000D4BB2">
      <w:r>
        <w:separator/>
      </w:r>
    </w:p>
  </w:footnote>
  <w:footnote w:type="continuationSeparator" w:id="0">
    <w:p w:rsidR="000D4BB2" w:rsidRDefault="000D4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F52" w:rsidRDefault="006375F7">
    <w:pPr>
      <w:pStyle w:val="Heading2"/>
      <w:ind w:left="0"/>
      <w:jc w:val="center"/>
      <w:rPr>
        <w:sz w:val="22"/>
        <w:szCs w:val="22"/>
      </w:rPr>
    </w:pPr>
    <w:r>
      <w:rPr>
        <w:noProof/>
      </w:rPr>
      <mc:AlternateContent>
        <mc:Choice Requires="wps">
          <w:drawing>
            <wp:anchor distT="152400" distB="152400" distL="152400" distR="152400" simplePos="0" relativeHeight="251658240" behindDoc="1" locked="0" layoutInCell="1" allowOverlap="1">
              <wp:simplePos x="0" y="0"/>
              <wp:positionH relativeFrom="page">
                <wp:posOffset>914400</wp:posOffset>
              </wp:positionH>
              <wp:positionV relativeFrom="page">
                <wp:posOffset>9335768</wp:posOffset>
              </wp:positionV>
              <wp:extent cx="5943600" cy="0"/>
              <wp:effectExtent l="0" t="0" r="0" b="0"/>
              <wp:wrapNone/>
              <wp:docPr id="1073741826" name="officeArt object" descr="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a:solidFill>
                          <a:srgbClr val="000080"/>
                        </a:solidFill>
                        <a:prstDash val="solid"/>
                        <a:round/>
                      </a:ln>
                      <a:effectLst/>
                    </wps:spPr>
                    <wps:bodyPr/>
                  </wps:wsp>
                </a:graphicData>
              </a:graphic>
            </wp:anchor>
          </w:drawing>
        </mc:Choice>
        <mc:Fallback>
          <w:pict>
            <v:line id="_x0000_s1026" style="visibility:visible;position:absolute;margin-left:72.0pt;margin-top:735.1pt;width:468.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80" opacity="100.0%" weight="1.0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sz w:val="22"/>
        <w:szCs w:val="22"/>
      </w:rPr>
      <w:t>Revenue for Public Safety - Recommendation</w:t>
    </w:r>
  </w:p>
  <w:p w:rsidR="00651F52" w:rsidRDefault="006375F7">
    <w:pPr>
      <w:pStyle w:val="Header"/>
      <w:tabs>
        <w:tab w:val="clear" w:pos="9360"/>
        <w:tab w:val="right" w:pos="9340"/>
      </w:tabs>
      <w:jc w:val="center"/>
    </w:pPr>
    <w:r>
      <w:rPr>
        <w:noProof/>
      </w:rPr>
      <w:drawing>
        <wp:inline distT="0" distB="0" distL="0" distR="0">
          <wp:extent cx="5751056" cy="4762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5751056" cy="4762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165D2"/>
    <w:multiLevelType w:val="hybridMultilevel"/>
    <w:tmpl w:val="FA16C11C"/>
    <w:styleLink w:val="Lettered"/>
    <w:lvl w:ilvl="0" w:tplc="0A90856E">
      <w:start w:val="1"/>
      <w:numFmt w:val="lowerLetter"/>
      <w:lvlText w:val="(%1)"/>
      <w:lvlJc w:val="left"/>
      <w:pPr>
        <w:ind w:left="1009" w:hanging="289"/>
      </w:pPr>
      <w:rPr>
        <w:rFonts w:hAnsi="Arial Unicode MS"/>
        <w:i/>
        <w:iCs/>
        <w:caps w:val="0"/>
        <w:smallCaps w:val="0"/>
        <w:strike w:val="0"/>
        <w:dstrike w:val="0"/>
        <w:outline w:val="0"/>
        <w:emboss w:val="0"/>
        <w:imprint w:val="0"/>
        <w:spacing w:val="0"/>
        <w:w w:val="100"/>
        <w:kern w:val="0"/>
        <w:position w:val="0"/>
        <w:highlight w:val="none"/>
        <w:vertAlign w:val="baseline"/>
      </w:rPr>
    </w:lvl>
    <w:lvl w:ilvl="1" w:tplc="30A205F0">
      <w:start w:val="1"/>
      <w:numFmt w:val="lowerLetter"/>
      <w:lvlText w:val="(%2)"/>
      <w:lvlJc w:val="left"/>
      <w:pPr>
        <w:ind w:left="2009" w:hanging="289"/>
      </w:pPr>
      <w:rPr>
        <w:rFonts w:hAnsi="Arial Unicode MS"/>
        <w:i/>
        <w:iCs/>
        <w:caps w:val="0"/>
        <w:smallCaps w:val="0"/>
        <w:strike w:val="0"/>
        <w:dstrike w:val="0"/>
        <w:outline w:val="0"/>
        <w:emboss w:val="0"/>
        <w:imprint w:val="0"/>
        <w:spacing w:val="0"/>
        <w:w w:val="100"/>
        <w:kern w:val="0"/>
        <w:position w:val="0"/>
        <w:highlight w:val="none"/>
        <w:vertAlign w:val="baseline"/>
      </w:rPr>
    </w:lvl>
    <w:lvl w:ilvl="2" w:tplc="3D345738">
      <w:start w:val="1"/>
      <w:numFmt w:val="lowerLetter"/>
      <w:lvlText w:val="(%3)"/>
      <w:lvlJc w:val="left"/>
      <w:pPr>
        <w:ind w:left="3009" w:hanging="289"/>
      </w:pPr>
      <w:rPr>
        <w:rFonts w:hAnsi="Arial Unicode MS"/>
        <w:i/>
        <w:iCs/>
        <w:caps w:val="0"/>
        <w:smallCaps w:val="0"/>
        <w:strike w:val="0"/>
        <w:dstrike w:val="0"/>
        <w:outline w:val="0"/>
        <w:emboss w:val="0"/>
        <w:imprint w:val="0"/>
        <w:spacing w:val="0"/>
        <w:w w:val="100"/>
        <w:kern w:val="0"/>
        <w:position w:val="0"/>
        <w:highlight w:val="none"/>
        <w:vertAlign w:val="baseline"/>
      </w:rPr>
    </w:lvl>
    <w:lvl w:ilvl="3" w:tplc="54862288">
      <w:start w:val="1"/>
      <w:numFmt w:val="lowerLetter"/>
      <w:lvlText w:val="(%4)"/>
      <w:lvlJc w:val="left"/>
      <w:pPr>
        <w:ind w:left="4009" w:hanging="289"/>
      </w:pPr>
      <w:rPr>
        <w:rFonts w:hAnsi="Arial Unicode MS"/>
        <w:i/>
        <w:iCs/>
        <w:caps w:val="0"/>
        <w:smallCaps w:val="0"/>
        <w:strike w:val="0"/>
        <w:dstrike w:val="0"/>
        <w:outline w:val="0"/>
        <w:emboss w:val="0"/>
        <w:imprint w:val="0"/>
        <w:spacing w:val="0"/>
        <w:w w:val="100"/>
        <w:kern w:val="0"/>
        <w:position w:val="0"/>
        <w:highlight w:val="none"/>
        <w:vertAlign w:val="baseline"/>
      </w:rPr>
    </w:lvl>
    <w:lvl w:ilvl="4" w:tplc="0BF033D8">
      <w:start w:val="1"/>
      <w:numFmt w:val="lowerLetter"/>
      <w:lvlText w:val="(%5)"/>
      <w:lvlJc w:val="left"/>
      <w:pPr>
        <w:ind w:left="5009" w:hanging="289"/>
      </w:pPr>
      <w:rPr>
        <w:rFonts w:hAnsi="Arial Unicode MS"/>
        <w:i/>
        <w:iCs/>
        <w:caps w:val="0"/>
        <w:smallCaps w:val="0"/>
        <w:strike w:val="0"/>
        <w:dstrike w:val="0"/>
        <w:outline w:val="0"/>
        <w:emboss w:val="0"/>
        <w:imprint w:val="0"/>
        <w:spacing w:val="0"/>
        <w:w w:val="100"/>
        <w:kern w:val="0"/>
        <w:position w:val="0"/>
        <w:highlight w:val="none"/>
        <w:vertAlign w:val="baseline"/>
      </w:rPr>
    </w:lvl>
    <w:lvl w:ilvl="5" w:tplc="571408E2">
      <w:start w:val="1"/>
      <w:numFmt w:val="lowerLetter"/>
      <w:lvlText w:val="(%6)"/>
      <w:lvlJc w:val="left"/>
      <w:pPr>
        <w:ind w:left="6009" w:hanging="289"/>
      </w:pPr>
      <w:rPr>
        <w:rFonts w:hAnsi="Arial Unicode MS"/>
        <w:i/>
        <w:iCs/>
        <w:caps w:val="0"/>
        <w:smallCaps w:val="0"/>
        <w:strike w:val="0"/>
        <w:dstrike w:val="0"/>
        <w:outline w:val="0"/>
        <w:emboss w:val="0"/>
        <w:imprint w:val="0"/>
        <w:spacing w:val="0"/>
        <w:w w:val="100"/>
        <w:kern w:val="0"/>
        <w:position w:val="0"/>
        <w:highlight w:val="none"/>
        <w:vertAlign w:val="baseline"/>
      </w:rPr>
    </w:lvl>
    <w:lvl w:ilvl="6" w:tplc="272C4956">
      <w:start w:val="1"/>
      <w:numFmt w:val="lowerLetter"/>
      <w:lvlText w:val="(%7)"/>
      <w:lvlJc w:val="left"/>
      <w:pPr>
        <w:ind w:left="7009" w:hanging="289"/>
      </w:pPr>
      <w:rPr>
        <w:rFonts w:hAnsi="Arial Unicode MS"/>
        <w:i/>
        <w:iCs/>
        <w:caps w:val="0"/>
        <w:smallCaps w:val="0"/>
        <w:strike w:val="0"/>
        <w:dstrike w:val="0"/>
        <w:outline w:val="0"/>
        <w:emboss w:val="0"/>
        <w:imprint w:val="0"/>
        <w:spacing w:val="0"/>
        <w:w w:val="100"/>
        <w:kern w:val="0"/>
        <w:position w:val="0"/>
        <w:highlight w:val="none"/>
        <w:vertAlign w:val="baseline"/>
      </w:rPr>
    </w:lvl>
    <w:lvl w:ilvl="7" w:tplc="D4AE9776">
      <w:start w:val="1"/>
      <w:numFmt w:val="lowerLetter"/>
      <w:lvlText w:val="(%8)"/>
      <w:lvlJc w:val="left"/>
      <w:pPr>
        <w:ind w:left="8009" w:hanging="289"/>
      </w:pPr>
      <w:rPr>
        <w:rFonts w:hAnsi="Arial Unicode MS"/>
        <w:i/>
        <w:iCs/>
        <w:caps w:val="0"/>
        <w:smallCaps w:val="0"/>
        <w:strike w:val="0"/>
        <w:dstrike w:val="0"/>
        <w:outline w:val="0"/>
        <w:emboss w:val="0"/>
        <w:imprint w:val="0"/>
        <w:spacing w:val="0"/>
        <w:w w:val="100"/>
        <w:kern w:val="0"/>
        <w:position w:val="0"/>
        <w:highlight w:val="none"/>
        <w:vertAlign w:val="baseline"/>
      </w:rPr>
    </w:lvl>
    <w:lvl w:ilvl="8" w:tplc="21949A0E">
      <w:start w:val="1"/>
      <w:numFmt w:val="lowerLetter"/>
      <w:lvlText w:val="(%9)"/>
      <w:lvlJc w:val="left"/>
      <w:pPr>
        <w:ind w:left="9009" w:hanging="28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
    <w:nsid w:val="168364DC"/>
    <w:multiLevelType w:val="hybridMultilevel"/>
    <w:tmpl w:val="35E87E74"/>
    <w:numStyleLink w:val="ImportedStyle1"/>
  </w:abstractNum>
  <w:abstractNum w:abstractNumId="2">
    <w:nsid w:val="2A844154"/>
    <w:multiLevelType w:val="hybridMultilevel"/>
    <w:tmpl w:val="FA16C11C"/>
    <w:numStyleLink w:val="Lettered"/>
  </w:abstractNum>
  <w:abstractNum w:abstractNumId="3">
    <w:nsid w:val="6BD478A5"/>
    <w:multiLevelType w:val="hybridMultilevel"/>
    <w:tmpl w:val="35E87E74"/>
    <w:styleLink w:val="ImportedStyle1"/>
    <w:lvl w:ilvl="0" w:tplc="AE48B4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08AD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221FB0">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0426A6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06EC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A80B88">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AFF6EBC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92E7B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C6712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51F52"/>
    <w:rsid w:val="00092877"/>
    <w:rsid w:val="000D4BB2"/>
    <w:rsid w:val="000E43A7"/>
    <w:rsid w:val="00451661"/>
    <w:rsid w:val="006375F7"/>
    <w:rsid w:val="00651F52"/>
    <w:rsid w:val="007F611D"/>
    <w:rsid w:val="0097495C"/>
    <w:rsid w:val="009C4D00"/>
    <w:rsid w:val="00A4110C"/>
    <w:rsid w:val="00AE64BC"/>
    <w:rsid w:val="00B17360"/>
    <w:rsid w:val="00B27C0F"/>
    <w:rsid w:val="00C9035F"/>
    <w:rsid w:val="00FC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A"/>
    <w:pPr>
      <w:keepNext/>
      <w:keepLines/>
      <w:spacing w:before="40"/>
      <w:ind w:left="720"/>
      <w:jc w:val="both"/>
      <w:outlineLvl w:val="1"/>
    </w:pPr>
    <w:rPr>
      <w:rFonts w:ascii="Cambria" w:eastAsia="Cambria" w:hAnsi="Cambria" w:cs="Cambria"/>
      <w:b/>
      <w:bCs/>
      <w:color w:val="3737A5"/>
      <w:sz w:val="36"/>
      <w:szCs w:val="36"/>
      <w:u w:color="3737A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Default">
    <w:name w:val="Default"/>
    <w:rPr>
      <w:rFonts w:ascii="Helvetica" w:hAnsi="Helvetica" w:cs="Arial Unicode MS"/>
      <w:color w:val="000000"/>
      <w:sz w:val="22"/>
      <w:szCs w:val="22"/>
      <w:u w:color="000000"/>
    </w:rPr>
  </w:style>
  <w:style w:type="numbering" w:customStyle="1" w:styleId="Lettered">
    <w:name w:val="Lettered"/>
    <w:pPr>
      <w:numPr>
        <w:numId w:val="3"/>
      </w:numPr>
    </w:pPr>
  </w:style>
  <w:style w:type="paragraph" w:styleId="BalloonText">
    <w:name w:val="Balloon Text"/>
    <w:basedOn w:val="Normal"/>
    <w:link w:val="BalloonTextChar"/>
    <w:uiPriority w:val="99"/>
    <w:semiHidden/>
    <w:unhideWhenUsed/>
    <w:rsid w:val="00A4110C"/>
    <w:rPr>
      <w:rFonts w:ascii="Tahoma" w:hAnsi="Tahoma" w:cs="Tahoma"/>
      <w:sz w:val="16"/>
      <w:szCs w:val="16"/>
    </w:rPr>
  </w:style>
  <w:style w:type="character" w:customStyle="1" w:styleId="BalloonTextChar">
    <w:name w:val="Balloon Text Char"/>
    <w:basedOn w:val="DefaultParagraphFont"/>
    <w:link w:val="BalloonText"/>
    <w:uiPriority w:val="99"/>
    <w:semiHidden/>
    <w:rsid w:val="00A4110C"/>
    <w:rPr>
      <w:rFonts w:ascii="Tahoma" w:hAnsi="Tahoma" w:cs="Tahoma"/>
      <w:sz w:val="16"/>
      <w:szCs w:val="16"/>
    </w:rPr>
  </w:style>
  <w:style w:type="paragraph" w:styleId="Footer">
    <w:name w:val="footer"/>
    <w:basedOn w:val="Normal"/>
    <w:link w:val="FooterChar"/>
    <w:uiPriority w:val="99"/>
    <w:unhideWhenUsed/>
    <w:rsid w:val="00B27C0F"/>
    <w:pPr>
      <w:tabs>
        <w:tab w:val="center" w:pos="4680"/>
        <w:tab w:val="right" w:pos="9360"/>
      </w:tabs>
    </w:pPr>
  </w:style>
  <w:style w:type="character" w:customStyle="1" w:styleId="FooterChar">
    <w:name w:val="Footer Char"/>
    <w:basedOn w:val="DefaultParagraphFont"/>
    <w:link w:val="Footer"/>
    <w:uiPriority w:val="99"/>
    <w:rsid w:val="00B27C0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A"/>
    <w:pPr>
      <w:keepNext/>
      <w:keepLines/>
      <w:spacing w:before="40"/>
      <w:ind w:left="720"/>
      <w:jc w:val="both"/>
      <w:outlineLvl w:val="1"/>
    </w:pPr>
    <w:rPr>
      <w:rFonts w:ascii="Cambria" w:eastAsia="Cambria" w:hAnsi="Cambria" w:cs="Cambria"/>
      <w:b/>
      <w:bCs/>
      <w:color w:val="3737A5"/>
      <w:sz w:val="36"/>
      <w:szCs w:val="36"/>
      <w:u w:color="3737A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Default">
    <w:name w:val="Default"/>
    <w:rPr>
      <w:rFonts w:ascii="Helvetica" w:hAnsi="Helvetica" w:cs="Arial Unicode MS"/>
      <w:color w:val="000000"/>
      <w:sz w:val="22"/>
      <w:szCs w:val="22"/>
      <w:u w:color="000000"/>
    </w:rPr>
  </w:style>
  <w:style w:type="numbering" w:customStyle="1" w:styleId="Lettered">
    <w:name w:val="Lettered"/>
    <w:pPr>
      <w:numPr>
        <w:numId w:val="3"/>
      </w:numPr>
    </w:pPr>
  </w:style>
  <w:style w:type="paragraph" w:styleId="BalloonText">
    <w:name w:val="Balloon Text"/>
    <w:basedOn w:val="Normal"/>
    <w:link w:val="BalloonTextChar"/>
    <w:uiPriority w:val="99"/>
    <w:semiHidden/>
    <w:unhideWhenUsed/>
    <w:rsid w:val="00A4110C"/>
    <w:rPr>
      <w:rFonts w:ascii="Tahoma" w:hAnsi="Tahoma" w:cs="Tahoma"/>
      <w:sz w:val="16"/>
      <w:szCs w:val="16"/>
    </w:rPr>
  </w:style>
  <w:style w:type="character" w:customStyle="1" w:styleId="BalloonTextChar">
    <w:name w:val="Balloon Text Char"/>
    <w:basedOn w:val="DefaultParagraphFont"/>
    <w:link w:val="BalloonText"/>
    <w:uiPriority w:val="99"/>
    <w:semiHidden/>
    <w:rsid w:val="00A4110C"/>
    <w:rPr>
      <w:rFonts w:ascii="Tahoma" w:hAnsi="Tahoma" w:cs="Tahoma"/>
      <w:sz w:val="16"/>
      <w:szCs w:val="16"/>
    </w:rPr>
  </w:style>
  <w:style w:type="paragraph" w:styleId="Footer">
    <w:name w:val="footer"/>
    <w:basedOn w:val="Normal"/>
    <w:link w:val="FooterChar"/>
    <w:uiPriority w:val="99"/>
    <w:unhideWhenUsed/>
    <w:rsid w:val="00B27C0F"/>
    <w:pPr>
      <w:tabs>
        <w:tab w:val="center" w:pos="4680"/>
        <w:tab w:val="right" w:pos="9360"/>
      </w:tabs>
    </w:pPr>
  </w:style>
  <w:style w:type="character" w:customStyle="1" w:styleId="FooterChar">
    <w:name w:val="Footer Char"/>
    <w:basedOn w:val="DefaultParagraphFont"/>
    <w:link w:val="Footer"/>
    <w:uiPriority w:val="99"/>
    <w:rsid w:val="00B27C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QMLaptop</dc:creator>
  <cp:lastModifiedBy>QMLaptop</cp:lastModifiedBy>
  <cp:revision>2</cp:revision>
  <dcterms:created xsi:type="dcterms:W3CDTF">2017-04-12T14:56:00Z</dcterms:created>
  <dcterms:modified xsi:type="dcterms:W3CDTF">2017-04-12T14:56:00Z</dcterms:modified>
</cp:coreProperties>
</file>